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B7" w:rsidRDefault="00CE70AD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244EBD" w:rsidRDefault="00244EBD" w:rsidP="00244EB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244EBD" w:rsidRDefault="00244EBD" w:rsidP="00244EB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8359942" w:history="1">
        <w:r w:rsidRPr="00FC61F0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FC61F0">
          <w:rPr>
            <w:rStyle w:val="Hyperlink"/>
            <w:rFonts w:ascii="IRBadr" w:hAnsi="IRBadr" w:cs="IRBadr" w:hint="eastAsia"/>
            <w:noProof/>
            <w:rtl/>
          </w:rPr>
          <w:t>ارتداد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_Toc428359942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43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تکرر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ارتداد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_Toc428359943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1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44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سابق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_Toc428359944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1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45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مقام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_Toc428359945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2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46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مستندات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_Toc428359946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2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47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244EBD" w:rsidRPr="00FC61F0">
          <w:rPr>
            <w:rStyle w:val="Hyperlink"/>
            <w:rFonts w:ascii="IRBadr" w:hAnsi="IRBadr" w:cs="IRBadr" w:hint="cs"/>
            <w:noProof/>
            <w:rtl/>
          </w:rPr>
          <w:t>ی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اول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_Toc428359947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2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48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بررس</w:t>
        </w:r>
        <w:r w:rsidR="00244EBD" w:rsidRPr="00FC61F0">
          <w:rPr>
            <w:rStyle w:val="Hyperlink"/>
            <w:rFonts w:ascii="IRBadr" w:hAnsi="IRBadr" w:cs="IRBadr" w:hint="cs"/>
            <w:noProof/>
            <w:rtl/>
          </w:rPr>
          <w:t>ی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244EBD" w:rsidRPr="00FC61F0">
          <w:rPr>
            <w:rStyle w:val="Hyperlink"/>
            <w:rFonts w:ascii="IRBadr" w:hAnsi="IRBadr" w:cs="IRBadr" w:hint="cs"/>
            <w:noProof/>
            <w:rtl/>
          </w:rPr>
          <w:t>ی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_Toc428359948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2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49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244EBD" w:rsidRPr="00FC61F0">
          <w:rPr>
            <w:rStyle w:val="Hyperlink"/>
            <w:rFonts w:ascii="IRBadr" w:hAnsi="IRBadr" w:cs="IRBadr" w:hint="cs"/>
            <w:noProof/>
            <w:rtl/>
          </w:rPr>
          <w:t>ی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_Toc428359949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3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50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بررس</w:t>
        </w:r>
        <w:r w:rsidR="00244EBD" w:rsidRPr="00FC61F0">
          <w:rPr>
            <w:rStyle w:val="Hyperlink"/>
            <w:rFonts w:ascii="IRBadr" w:hAnsi="IRBadr" w:cs="IRBadr" w:hint="cs"/>
            <w:noProof/>
            <w:rtl/>
          </w:rPr>
          <w:t>ی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روا</w:t>
        </w:r>
        <w:r w:rsidR="00244EBD" w:rsidRPr="00FC61F0">
          <w:rPr>
            <w:rStyle w:val="Hyperlink"/>
            <w:rFonts w:ascii="IRBadr" w:hAnsi="IRBadr" w:cs="IRBadr" w:hint="cs"/>
            <w:noProof/>
            <w:rtl/>
          </w:rPr>
          <w:t>ی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ت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_Toc428359950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3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51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دل</w:t>
        </w:r>
        <w:r w:rsidR="00244EBD" w:rsidRPr="00FC61F0">
          <w:rPr>
            <w:rStyle w:val="Hyperlink"/>
            <w:rFonts w:ascii="IRBadr" w:hAnsi="IRBadr" w:cs="IRBadr" w:hint="cs"/>
            <w:noProof/>
            <w:rtl/>
          </w:rPr>
          <w:t>ی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ل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سوم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_Toc428359951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4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52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جمع‌بند</w:t>
        </w:r>
        <w:r w:rsidR="00244EBD" w:rsidRPr="00FC61F0">
          <w:rPr>
            <w:rStyle w:val="Hyperlink"/>
            <w:rFonts w:ascii="IRBadr" w:hAnsi="IRBadr" w:cs="IRBadr" w:hint="cs"/>
            <w:noProof/>
            <w:rtl/>
          </w:rPr>
          <w:t>ی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_Toc428359952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4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9953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جنون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بعد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ارتداد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_Toc428359953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4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9954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قتل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مرتد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پس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توبه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_Toc428359954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4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Default="000103C9" w:rsidP="00244EBD">
      <w:pPr>
        <w:pStyle w:val="TOC4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9955" w:history="1"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="00244EBD" w:rsidRPr="00FC61F0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244EBD" w:rsidRPr="00FC61F0">
          <w:rPr>
            <w:rStyle w:val="Hyperlink"/>
            <w:rFonts w:ascii="IRBadr" w:hAnsi="IRBadr" w:cs="IRBadr" w:hint="eastAsia"/>
            <w:noProof/>
            <w:rtl/>
          </w:rPr>
          <w:t>مبنا</w:t>
        </w:r>
        <w:r w:rsidR="00244EBD">
          <w:rPr>
            <w:noProof/>
            <w:webHidden/>
          </w:rPr>
          <w:tab/>
        </w:r>
        <w:r w:rsidR="00244EBD">
          <w:rPr>
            <w:rStyle w:val="Hyperlink"/>
            <w:noProof/>
            <w:rtl/>
          </w:rPr>
          <w:fldChar w:fldCharType="begin"/>
        </w:r>
        <w:r w:rsidR="00244EBD">
          <w:rPr>
            <w:noProof/>
            <w:webHidden/>
          </w:rPr>
          <w:instrText xml:space="preserve"> PAGEREF _Toc428359955 \h </w:instrText>
        </w:r>
        <w:r w:rsidR="00244EBD">
          <w:rPr>
            <w:rStyle w:val="Hyperlink"/>
            <w:noProof/>
            <w:rtl/>
          </w:rPr>
        </w:r>
        <w:r w:rsidR="00244EBD">
          <w:rPr>
            <w:rStyle w:val="Hyperlink"/>
            <w:noProof/>
            <w:rtl/>
          </w:rPr>
          <w:fldChar w:fldCharType="separate"/>
        </w:r>
        <w:r w:rsidR="00244EBD">
          <w:rPr>
            <w:noProof/>
            <w:webHidden/>
          </w:rPr>
          <w:t>5</w:t>
        </w:r>
        <w:r w:rsidR="00244EBD">
          <w:rPr>
            <w:rStyle w:val="Hyperlink"/>
            <w:noProof/>
            <w:rtl/>
          </w:rPr>
          <w:fldChar w:fldCharType="end"/>
        </w:r>
      </w:hyperlink>
    </w:p>
    <w:p w:rsidR="00244EBD" w:rsidRPr="00244EBD" w:rsidRDefault="00244EBD" w:rsidP="00244EBD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3239B7" w:rsidRPr="00244EBD" w:rsidRDefault="003239B7" w:rsidP="003239B7">
      <w:pPr>
        <w:pStyle w:val="Heading1"/>
        <w:rPr>
          <w:rFonts w:ascii="IRBadr" w:hAnsi="IRBadr" w:cs="IRBadr"/>
          <w:rtl/>
        </w:rPr>
      </w:pPr>
      <w:bookmarkStart w:id="0" w:name="_Toc428359942"/>
      <w:r w:rsidRPr="00244EBD">
        <w:rPr>
          <w:rFonts w:ascii="IRBadr" w:hAnsi="IRBadr" w:cs="IRBadr"/>
          <w:rtl/>
        </w:rPr>
        <w:lastRenderedPageBreak/>
        <w:t>حد ارتداد</w:t>
      </w:r>
      <w:bookmarkEnd w:id="0"/>
    </w:p>
    <w:p w:rsidR="003239B7" w:rsidRPr="00244EBD" w:rsidRDefault="003239B7" w:rsidP="003239B7">
      <w:pPr>
        <w:pStyle w:val="Heading1"/>
        <w:rPr>
          <w:rFonts w:ascii="IRBadr" w:hAnsi="IRBadr" w:cs="IRBadr"/>
          <w:rtl/>
        </w:rPr>
      </w:pPr>
      <w:bookmarkStart w:id="1" w:name="_Toc428359943"/>
      <w:r w:rsidRPr="00244EBD">
        <w:rPr>
          <w:rFonts w:ascii="IRBadr" w:hAnsi="IRBadr" w:cs="IRBadr"/>
          <w:rtl/>
        </w:rPr>
        <w:t>تکرر ارتداد</w:t>
      </w:r>
      <w:bookmarkEnd w:id="1"/>
    </w:p>
    <w:p w:rsidR="003239B7" w:rsidRPr="00244EBD" w:rsidRDefault="003239B7" w:rsidP="003239B7">
      <w:pPr>
        <w:pStyle w:val="Heading1"/>
        <w:rPr>
          <w:rFonts w:ascii="IRBadr" w:hAnsi="IRBadr" w:cs="IRBadr"/>
          <w:rtl/>
        </w:rPr>
      </w:pPr>
      <w:bookmarkStart w:id="2" w:name="_Toc428359944"/>
      <w:r w:rsidRPr="00244EBD">
        <w:rPr>
          <w:rFonts w:ascii="IRBadr" w:hAnsi="IRBadr" w:cs="IRBadr"/>
          <w:rtl/>
        </w:rPr>
        <w:t>مرور بحث سابق</w:t>
      </w:r>
      <w:bookmarkEnd w:id="2"/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>آخرین بحث از جلسه سابق به تکرر ارتداد اختصاص یافت،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این قبال گفته شد که در صورت تکرر دو قول وجود دارد،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قول قائل به قتل در مرتبه ثالثه است بدون اینکه استتابه ای صورت گیرد و قول دیگر که درباره آن ادعای اجماع شده است،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معتقد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است که در مرتبه چهارم کشته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اما ما عقیده داشتیم تا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مادامی‌که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توبه وجود دارد ولو اینکه فرد تا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صدبار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نیز ارتداد پیدا کند باز حکم او قتل نخواهد بود.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علت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آن نیز حدیثی است که در جلسه سابق بیان شد که موارد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در روایات برای قتل مرتد شامل این مقام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239B7" w:rsidRPr="00244EBD" w:rsidRDefault="003239B7" w:rsidP="003239B7">
      <w:pPr>
        <w:pStyle w:val="Heading2"/>
        <w:rPr>
          <w:rFonts w:ascii="IRBadr" w:hAnsi="IRBadr" w:cs="IRBadr"/>
          <w:rtl/>
        </w:rPr>
      </w:pPr>
      <w:bookmarkStart w:id="3" w:name="_Toc428359945"/>
      <w:r w:rsidRPr="00244EBD">
        <w:rPr>
          <w:rFonts w:ascii="IRBadr" w:hAnsi="IRBadr" w:cs="IRBadr"/>
          <w:rtl/>
        </w:rPr>
        <w:t>مقام دوم</w:t>
      </w:r>
      <w:bookmarkEnd w:id="3"/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اما مقام دوم در رابطه با این است که آیا در این مقام دلیل خاصی وجود دارد؟ در اینجا به دو روایت تمسک شده است جهت اینکه تا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مادامی‌که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توبه است،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قتلی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در کار نخواهد بود.</w:t>
      </w:r>
    </w:p>
    <w:p w:rsidR="003239B7" w:rsidRPr="00244EBD" w:rsidRDefault="003239B7" w:rsidP="003239B7">
      <w:pPr>
        <w:pStyle w:val="Heading2"/>
        <w:rPr>
          <w:rFonts w:ascii="IRBadr" w:hAnsi="IRBadr" w:cs="IRBadr"/>
          <w:rtl/>
        </w:rPr>
      </w:pPr>
      <w:bookmarkStart w:id="4" w:name="_Toc428359946"/>
      <w:r w:rsidRPr="00244EBD">
        <w:rPr>
          <w:rFonts w:ascii="IRBadr" w:hAnsi="IRBadr" w:cs="IRBadr"/>
          <w:rtl/>
        </w:rPr>
        <w:t>مستندات بحث</w:t>
      </w:r>
      <w:bookmarkEnd w:id="4"/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>این روایات در تهذیب،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جلد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ده، صفحه صد و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سی‌وهفت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3239B7" w:rsidRPr="00244EBD" w:rsidRDefault="003239B7" w:rsidP="003239B7">
      <w:pPr>
        <w:pStyle w:val="Heading2"/>
        <w:rPr>
          <w:rFonts w:ascii="IRBadr" w:hAnsi="IRBadr" w:cs="IRBadr"/>
          <w:rtl/>
        </w:rPr>
      </w:pPr>
      <w:bookmarkStart w:id="5" w:name="_Toc428359947"/>
      <w:r w:rsidRPr="00244EBD">
        <w:rPr>
          <w:rFonts w:ascii="IRBadr" w:hAnsi="IRBadr" w:cs="IRBadr"/>
          <w:rtl/>
        </w:rPr>
        <w:t>روایت اول</w:t>
      </w:r>
      <w:bookmarkEnd w:id="5"/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>این روایت به دلیل علی بن حدید که توثیقش ثابت نیست از سند تامی برخوردار نیست؛</w:t>
      </w:r>
    </w:p>
    <w:p w:rsidR="003239B7" w:rsidRPr="00244EBD" w:rsidRDefault="003239B7" w:rsidP="003239B7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مُحَمَّدُ بْنُ 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حْ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أَحْمَدَ بْنِ مُحَمَّدِ بْنِ عِ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عَلِ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بْنِ حَدِ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دٍ عَنْ جَمِ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لِ بْنِ دَرَّاجٍ وَ غَ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رِهِ عَنْ أَحَدِهِمَا ع فِ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رَجُلٍ رَجَعَ عَنِ الْإِسْلَامِ قَالَ 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سْتَتَابُ فَإِنْ تَابَ وَ إِلَّا قُتِلَ قِ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لَ لِجَمِ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لٍ فَمَا تَقُولُ إِنْ تَابَ ثُمَّ رَجَعَ عَنِ الْإِسْلَامِ قَالَ 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سْتَتَابُ قِ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لَ فَمَا 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lastRenderedPageBreak/>
        <w:t>تَقُولُ إِنْ تَابَ ثُمَّ رَجَعَ قَالَ لَمْ أَسْمَعْ فِ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هَذَا شَ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ئاً وَ لَ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نَّهُ عِنْدِ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بِمَنْزِلَةِ الزَّانِ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الَّذِ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قَامُ عَلَ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الْحَدُّ مَرَّتَ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نِ ثُمَّ 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قْتَلُ بَعْدَ ذَلِ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:" وَ قَالَ رَوَ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أَصْحَابُنَا": أَنَّ الزَّانِ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قْتَلُ فِ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الْمَرَّةِ الثَّالِثَةِ.»</w:t>
      </w:r>
      <w:r w:rsidRPr="00244EB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3239B7" w:rsidRPr="00244EBD" w:rsidRDefault="003239B7" w:rsidP="003239B7">
      <w:pPr>
        <w:pStyle w:val="Heading2"/>
        <w:rPr>
          <w:rFonts w:ascii="IRBadr" w:hAnsi="IRBadr" w:cs="IRBadr"/>
          <w:rtl/>
        </w:rPr>
      </w:pPr>
      <w:bookmarkStart w:id="7" w:name="_Toc428359948"/>
      <w:r w:rsidRPr="00244EBD">
        <w:rPr>
          <w:rFonts w:ascii="IRBadr" w:hAnsi="IRBadr" w:cs="IRBadr"/>
          <w:rtl/>
        </w:rPr>
        <w:t>بررسی روایت</w:t>
      </w:r>
      <w:bookmarkEnd w:id="7"/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طبق این روایت اگر تا بار سوم تکرر پیدا کرد کشته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روایت فوق از چند جهت دچار اشکال است؛</w:t>
      </w:r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>اولاً سند روایت ضعیف است،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ثانیاً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ذیل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آن‌که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شاهد کلام است،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نیست بلکه کلام جمیل بن دراج است و ثالثاً راوی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او مثل زانی است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روایات معتبره ای در قبال زانی وجود دارد که حکم او را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چهارم قرار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.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به روایت تمسک کرد.</w:t>
      </w:r>
    </w:p>
    <w:p w:rsidR="003239B7" w:rsidRPr="00244EBD" w:rsidRDefault="003239B7" w:rsidP="003239B7">
      <w:pPr>
        <w:pStyle w:val="Heading2"/>
        <w:rPr>
          <w:rFonts w:ascii="IRBadr" w:hAnsi="IRBadr" w:cs="IRBadr"/>
          <w:rtl/>
        </w:rPr>
      </w:pPr>
      <w:bookmarkStart w:id="8" w:name="_Toc428359949"/>
      <w:r w:rsidRPr="00244EBD">
        <w:rPr>
          <w:rFonts w:ascii="IRBadr" w:hAnsi="IRBadr" w:cs="IRBadr"/>
          <w:rtl/>
        </w:rPr>
        <w:t>روایت دوم</w:t>
      </w:r>
      <w:bookmarkEnd w:id="8"/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روایت دیگر در باب سه از ابواب حد مرتد، حدیث چهارم یعنی حدیث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بعدازاین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حدیث، صفحه پانصد و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چهل‌وهفت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>ظاهراً محمد بن سالم توثیقی ندارد؛</w:t>
      </w:r>
    </w:p>
    <w:p w:rsidR="003239B7" w:rsidRPr="00244EBD" w:rsidRDefault="003239B7" w:rsidP="003239B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«أَبُو عَلِ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الْأَشْعَرِ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مُحَمَّدِ بْنِ سَالِمٍ عَنْ أَحْمَدَ بْنِ النَّضْرِ عَنْ عَمْرِو بْنِ شِمْرٍ عَنْ جَابِرٍ عَنْ أَبِ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عَبْدِ اللَّهِ ع قَالَ: أُتِ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أَمِ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الْمُؤْمِنِ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نَ ص بِرَجُلٍ مِنْ بَنِ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ثَعْلَبَةَ قَدْ تَنَصَّرَ بَعْدَ إِسْلَامِهِ فَشَهِدُوا عَلَ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فَقَالَ لَهُ أَمِ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رُ الْمُؤْمِنِ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ع مَا 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قُولُ هَؤُلَاءِ الشُّهُودُ قَالَ صَدَقُوا وَ أَنَا أَرْجِعُ إِلَ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الْإِسْلَامِ فَقَالَ أَمَا إِنَّ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لَوْ 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ذَّبْتَ الشُّهُودَ لَضَرَبْتُ عُنُقَ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قَدْ قَبِلْتُ مِنْ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وَ لَا تَعُدْ فَإِنَّ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إِنْ رَجَعْتَ لَمْ أَقْبَلْ مِنْ</w:t>
      </w:r>
      <w:r w:rsidR="00CE70AD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رُجُوعاً بَعْدَهُ.»</w:t>
      </w:r>
      <w:r w:rsidRPr="00244EB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3239B7" w:rsidRPr="00244EBD" w:rsidRDefault="003239B7" w:rsidP="003239B7">
      <w:pPr>
        <w:pStyle w:val="Heading2"/>
        <w:rPr>
          <w:rFonts w:ascii="IRBadr" w:hAnsi="IRBadr" w:cs="IRBadr"/>
          <w:rtl/>
        </w:rPr>
      </w:pPr>
      <w:bookmarkStart w:id="9" w:name="_Toc428359950"/>
      <w:r w:rsidRPr="00244EBD">
        <w:rPr>
          <w:rFonts w:ascii="IRBadr" w:hAnsi="IRBadr" w:cs="IRBadr"/>
          <w:rtl/>
        </w:rPr>
        <w:t>بررسی روایت</w:t>
      </w:r>
      <w:bookmarkEnd w:id="9"/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اما اشکال دیگری که به این روایت غیر از ناحیه سندی وارد است،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دلالت است چراکه؛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دلالت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بر قتل در مرتبه دوم.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اشکال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دیگری که از طرف آقای فاضل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است که در روایت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به‌جای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اینکه حضرت بفرماید اگر توبه نمی‌کردی تو را می‌کشتم، می‌فرماید اگر آن‌ها را تکذیب می‌کردی تو را می‌کشتم.</w:t>
      </w:r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منتها اینکه امام بحث تکذیب شهود را مطرح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کنایه است از عدم توبه است. و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که حائز اهمیت است این بوده که استتابه تنها نقش طریقی دارد،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اگر خود فرد نیز به محضر امام رفت و توبه نمود کفایت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.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کلام امام که اگر رجوع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می‌کردی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پس‌ازآن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رجوعی را از تو قبول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نمی‌کنم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حمل بر بار سوم و چهارم شود،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خلاف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ظاهر است.</w:t>
      </w:r>
    </w:p>
    <w:p w:rsidR="003239B7" w:rsidRPr="00244EBD" w:rsidRDefault="003239B7" w:rsidP="003239B7">
      <w:pPr>
        <w:pStyle w:val="Heading2"/>
        <w:rPr>
          <w:rFonts w:ascii="IRBadr" w:hAnsi="IRBadr" w:cs="IRBadr"/>
          <w:rtl/>
        </w:rPr>
      </w:pPr>
      <w:bookmarkStart w:id="10" w:name="_Toc428359951"/>
      <w:r w:rsidRPr="00244EBD">
        <w:rPr>
          <w:rFonts w:ascii="IRBadr" w:hAnsi="IRBadr" w:cs="IRBadr"/>
          <w:rtl/>
        </w:rPr>
        <w:t>دلیل سوم</w:t>
      </w:r>
      <w:bookmarkEnd w:id="10"/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دلیل سومی که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در اینجا ذکر کرد،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دلیل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اجماع است که در کلمات مرحوم شیخ اجماع بر بار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چهارم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ادعاشده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این اجماع قاعدتاً مدرکی است و برای ما حجیتی ندارد.</w:t>
      </w:r>
    </w:p>
    <w:p w:rsidR="003239B7" w:rsidRPr="00244EBD" w:rsidRDefault="00CE70AD" w:rsidP="003239B7">
      <w:pPr>
        <w:pStyle w:val="Heading2"/>
        <w:rPr>
          <w:rFonts w:ascii="IRBadr" w:hAnsi="IRBadr" w:cs="IRBadr"/>
          <w:rtl/>
        </w:rPr>
      </w:pPr>
      <w:bookmarkStart w:id="11" w:name="_Toc428359952"/>
      <w:r w:rsidRPr="00244EBD">
        <w:rPr>
          <w:rFonts w:ascii="IRBadr" w:hAnsi="IRBadr" w:cs="IRBadr"/>
          <w:rtl/>
        </w:rPr>
        <w:t>جمع‌بندی</w:t>
      </w:r>
      <w:bookmarkEnd w:id="11"/>
    </w:p>
    <w:p w:rsidR="003239B7" w:rsidRPr="00244EBD" w:rsidRDefault="00CE70AD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>،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ازلحاظ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قواعد عمومی دلیلی بر این 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نیست،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سوم و نه 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چهارم از حیث روایات خاصه و اجماع دلیلی بر این مطلب وجود ندارد.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احوط در این </w:t>
      </w:r>
      <w:r w:rsidR="00EA53E8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بار چهارم است که در متن تحریر بدان 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اشاره‌شده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بود.</w:t>
      </w:r>
    </w:p>
    <w:p w:rsidR="003239B7" w:rsidRPr="00244EBD" w:rsidRDefault="003239B7" w:rsidP="003239B7">
      <w:pPr>
        <w:pStyle w:val="Heading3"/>
        <w:rPr>
          <w:rFonts w:ascii="IRBadr" w:hAnsi="IRBadr" w:cs="IRBadr"/>
          <w:rtl/>
        </w:rPr>
      </w:pPr>
      <w:bookmarkStart w:id="12" w:name="_Toc428359953"/>
      <w:r w:rsidRPr="00244EBD">
        <w:rPr>
          <w:rFonts w:ascii="IRBadr" w:hAnsi="IRBadr" w:cs="IRBadr"/>
          <w:rtl/>
        </w:rPr>
        <w:t>جنون بعد از ارتداد</w:t>
      </w:r>
      <w:bookmarkEnd w:id="12"/>
    </w:p>
    <w:p w:rsidR="003239B7" w:rsidRPr="00244EBD" w:rsidRDefault="00EA53E8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ششم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="003239B7" w:rsidRPr="00244EBD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3239B7" w:rsidRPr="00244EBD" w:rsidRDefault="00CE70AD" w:rsidP="003239B7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</w:t>
      </w:r>
      <w:r w:rsidR="003239B7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مسألة 6: لو جنّ المرتدّ الملّ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239B7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بعد ردّته و قبل استتابته لم 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239B7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قتل، و لو طرأ الجنون بعد استتابته و امتناعه المب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239B7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ح لقتله 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239B7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قتل، 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="003239B7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ما 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239B7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قتل الفطر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="003239B7"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إذا عرضه الجنون بعد ردّته</w:t>
      </w:r>
      <w:r w:rsidRPr="00244EBD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="003239B7" w:rsidRPr="00244EBD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3"/>
      </w:r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اگر مرتد ملی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پس‌ازاینکه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ارتداد پیدا کرد،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مجنون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شد،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قبال حکم او دو صورت وجود دارد؛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جنون او قبل از توبه است و گاهی بعد از توبه، در صورت اول فرد به قتل نخواهد رسید.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حکم بر اساس قاعده است چراکه موضوع مرتد ملی طبق نظر مشهور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است که فرد توبه نکرده باشد لذا به قتل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>در صورت دوم نیز حکم چه در اینجا چه سایر موارد از حدود این است که حد در حال جنون جاری خواهد شد.</w:t>
      </w:r>
    </w:p>
    <w:p w:rsidR="003239B7" w:rsidRPr="00244EBD" w:rsidRDefault="003239B7" w:rsidP="003239B7">
      <w:pPr>
        <w:pStyle w:val="Heading4"/>
        <w:ind w:firstLine="0"/>
        <w:rPr>
          <w:rFonts w:ascii="IRBadr" w:hAnsi="IRBadr" w:cs="IRBadr"/>
          <w:rtl/>
        </w:rPr>
      </w:pPr>
      <w:bookmarkStart w:id="13" w:name="_Toc428359954"/>
      <w:r w:rsidRPr="00244EBD">
        <w:rPr>
          <w:rFonts w:ascii="IRBadr" w:hAnsi="IRBadr" w:cs="IRBadr"/>
          <w:rtl/>
        </w:rPr>
        <w:t>قتل مرتد پس از توبه</w:t>
      </w:r>
      <w:bookmarkEnd w:id="13"/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lastRenderedPageBreak/>
        <w:t>این فرع در مورد این است که فردی پس از ارتداد توبه نموده ولی دیگری از آن اطلاع نداشته و او را به قتل رسانید،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این صورت دو قول وجود دارد، شیخ و ابن شهرآشوب و بعضی بزرگان فرمودند اینجا قصاص می‌شود چون مسلمانی را بدون حق کشته است؛</w:t>
      </w:r>
    </w:p>
    <w:p w:rsidR="003239B7" w:rsidRPr="00244EBD" w:rsidRDefault="003239B7" w:rsidP="003239B7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«وَ مَنْ </w:t>
      </w:r>
      <w:r w:rsidR="00CE70AD" w:rsidRPr="00244EB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244EB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قْتُلْ مُؤْمِناً مُتَعَمِّداً فَجَزاؤُهُ جَهَنَّمُ خالِداً </w:t>
      </w:r>
      <w:r w:rsidR="00CE70AD" w:rsidRPr="00244EBD">
        <w:rPr>
          <w:rFonts w:ascii="IRBadr" w:hAnsi="IRBadr" w:cs="IRBadr"/>
          <w:b/>
          <w:bCs/>
          <w:sz w:val="28"/>
          <w:szCs w:val="28"/>
          <w:rtl/>
          <w:lang w:bidi="fa-IR"/>
        </w:rPr>
        <w:t>فی‌ها</w:t>
      </w:r>
      <w:r w:rsidRPr="00244EBD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غَضِبَ اللَّهُ عَلَ</w:t>
      </w:r>
      <w:r w:rsidR="00CE70AD" w:rsidRPr="00244EB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244EBD">
        <w:rPr>
          <w:rFonts w:ascii="IRBadr" w:hAnsi="IRBadr" w:cs="IRBadr"/>
          <w:b/>
          <w:bCs/>
          <w:sz w:val="28"/>
          <w:szCs w:val="28"/>
          <w:rtl/>
          <w:lang w:bidi="fa-IR"/>
        </w:rPr>
        <w:t>هِ وَ لَعَنَهُ وَ أَعَدَّ لَهُ عَذاباً عَظِ</w:t>
      </w:r>
      <w:r w:rsidR="00CE70AD" w:rsidRPr="00244EBD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244EBD">
        <w:rPr>
          <w:rFonts w:ascii="IRBadr" w:hAnsi="IRBadr" w:cs="IRBadr"/>
          <w:b/>
          <w:bCs/>
          <w:sz w:val="28"/>
          <w:szCs w:val="28"/>
          <w:rtl/>
          <w:lang w:bidi="fa-IR"/>
        </w:rPr>
        <w:t>ماً»</w:t>
      </w:r>
      <w:r w:rsidRPr="00244EBD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4"/>
      </w:r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>یک قول این است که اینجا جای قصاص نیست و جای دیه است.</w:t>
      </w:r>
    </w:p>
    <w:p w:rsidR="003239B7" w:rsidRPr="00244EBD" w:rsidRDefault="003239B7" w:rsidP="003239B7">
      <w:pPr>
        <w:pStyle w:val="Heading4"/>
        <w:ind w:firstLine="0"/>
        <w:rPr>
          <w:rFonts w:ascii="IRBadr" w:hAnsi="IRBadr" w:cs="IRBadr"/>
          <w:rtl/>
        </w:rPr>
      </w:pPr>
      <w:bookmarkStart w:id="14" w:name="_Toc428359955"/>
      <w:r w:rsidRPr="00244EBD">
        <w:rPr>
          <w:rFonts w:ascii="IRBadr" w:hAnsi="IRBadr" w:cs="IRBadr"/>
          <w:rtl/>
        </w:rPr>
        <w:t>اتخاذ مبنا</w:t>
      </w:r>
      <w:bookmarkEnd w:id="14"/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مشهور به قول دم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معتقد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هستند و به نظر 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>،</w:t>
      </w:r>
      <w:r w:rsidR="00CE70AD" w:rsidRPr="00244EBD">
        <w:rPr>
          <w:rFonts w:ascii="IRBadr" w:hAnsi="IRBadr" w:cs="IRBadr"/>
          <w:sz w:val="28"/>
          <w:szCs w:val="28"/>
          <w:rtl/>
          <w:lang w:bidi="fa-IR"/>
        </w:rPr>
        <w:t xml:space="preserve"> اینجا</w:t>
      </w:r>
      <w:r w:rsidRPr="00244EBD">
        <w:rPr>
          <w:rFonts w:ascii="IRBadr" w:hAnsi="IRBadr" w:cs="IRBadr"/>
          <w:sz w:val="28"/>
          <w:szCs w:val="28"/>
          <w:rtl/>
          <w:lang w:bidi="fa-IR"/>
        </w:rPr>
        <w:t xml:space="preserve"> جای قصاص نیست.</w:t>
      </w:r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3239B7" w:rsidRPr="00244EBD" w:rsidRDefault="003239B7" w:rsidP="003239B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244EBD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244EBD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C9" w:rsidRDefault="000103C9" w:rsidP="000D5800">
      <w:pPr>
        <w:spacing w:after="0" w:line="240" w:lineRule="auto"/>
      </w:pPr>
      <w:r>
        <w:separator/>
      </w:r>
    </w:p>
  </w:endnote>
  <w:endnote w:type="continuationSeparator" w:id="0">
    <w:p w:rsidR="000103C9" w:rsidRDefault="000103C9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C9" w:rsidRDefault="000103C9" w:rsidP="00244EBD">
      <w:pPr>
        <w:bidi/>
        <w:spacing w:after="0" w:line="240" w:lineRule="auto"/>
      </w:pPr>
      <w:r>
        <w:separator/>
      </w:r>
    </w:p>
  </w:footnote>
  <w:footnote w:type="continuationSeparator" w:id="0">
    <w:p w:rsidR="000103C9" w:rsidRDefault="000103C9" w:rsidP="000D5800">
      <w:pPr>
        <w:spacing w:after="0" w:line="240" w:lineRule="auto"/>
      </w:pPr>
      <w:r>
        <w:continuationSeparator/>
      </w:r>
    </w:p>
  </w:footnote>
  <w:footnote w:id="1">
    <w:p w:rsidR="003239B7" w:rsidRDefault="003239B7" w:rsidP="003239B7">
      <w:pPr>
        <w:pStyle w:val="FootnoteText"/>
        <w:rPr>
          <w:rFonts w:cstheme="minorBidi"/>
          <w:rtl/>
        </w:rPr>
      </w:pPr>
      <w:bookmarkStart w:id="6" w:name="_GoBack"/>
      <w:bookmarkEnd w:id="6"/>
      <w:r>
        <w:rPr>
          <w:rStyle w:val="FootnoteReference"/>
        </w:rPr>
        <w:footnoteRef/>
      </w:r>
      <w:r>
        <w:t xml:space="preserve"> </w:t>
      </w:r>
      <w:r w:rsidR="00EA53E8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CE70AD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CE70AD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E70AD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E70AD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256</w:t>
      </w:r>
      <w:r w:rsidR="00EA53E8">
        <w:rPr>
          <w:rFonts w:cstheme="minorBidi" w:hint="cs"/>
          <w:rtl/>
        </w:rPr>
        <w:t>.</w:t>
      </w:r>
    </w:p>
  </w:footnote>
  <w:footnote w:id="2">
    <w:p w:rsidR="003239B7" w:rsidRDefault="003239B7" w:rsidP="003239B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EA53E8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CE70AD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CE70AD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E70AD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E70AD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257</w:t>
      </w:r>
      <w:r w:rsidR="00EA53E8">
        <w:rPr>
          <w:rFonts w:hint="cs"/>
          <w:rtl/>
        </w:rPr>
        <w:t>.</w:t>
      </w:r>
    </w:p>
  </w:footnote>
  <w:footnote w:id="3">
    <w:p w:rsidR="003239B7" w:rsidRDefault="003239B7" w:rsidP="003239B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EA53E8">
        <w:rPr>
          <w:rFonts w:ascii="Noor_Titr" w:hAnsi="Noor_Titr" w:cs="B Badr" w:hint="cs"/>
          <w:color w:val="000000" w:themeColor="text1"/>
          <w:rtl/>
        </w:rPr>
        <w:t xml:space="preserve">- </w:t>
      </w:r>
      <w:r>
        <w:rPr>
          <w:rFonts w:ascii="Noor_Titr" w:hAnsi="Noor_Titr" w:cs="B Badr" w:hint="cs"/>
          <w:color w:val="000000" w:themeColor="text1"/>
          <w:rtl/>
        </w:rPr>
        <w:t>تفص</w:t>
      </w:r>
      <w:r w:rsidR="00CE70AD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ل الشر</w:t>
      </w:r>
      <w:r w:rsidR="00CE70AD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عة ف</w:t>
      </w:r>
      <w:r w:rsidR="00CE70AD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شرح تحر</w:t>
      </w:r>
      <w:r w:rsidR="00CE70AD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ر الوس</w:t>
      </w:r>
      <w:r w:rsidR="00CE70AD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لة - الحدود؛ ص: 712</w:t>
      </w:r>
      <w:r w:rsidR="00EA53E8">
        <w:rPr>
          <w:rFonts w:hint="cs"/>
          <w:rtl/>
        </w:rPr>
        <w:t>.</w:t>
      </w:r>
    </w:p>
  </w:footnote>
  <w:footnote w:id="4">
    <w:p w:rsidR="003239B7" w:rsidRDefault="003239B7" w:rsidP="003239B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EA53E8">
        <w:rPr>
          <w:rFonts w:cs="B Badr" w:hint="cs"/>
          <w:rtl/>
        </w:rPr>
        <w:t xml:space="preserve">- </w:t>
      </w:r>
      <w:r>
        <w:rPr>
          <w:rFonts w:cs="B Badr" w:hint="cs"/>
          <w:rtl/>
        </w:rPr>
        <w:t>93/نساء</w:t>
      </w:r>
      <w:r w:rsidR="00EA53E8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EA53E8" w:rsidRDefault="000D5800" w:rsidP="00EA53E8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C814682" wp14:editId="467ACB0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6293716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6FCAFE24" wp14:editId="598492E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F1324">
      <w:rPr>
        <w:rFonts w:ascii="IranNastaliq" w:hAnsi="IranNastaliq" w:cs="IranNastaliq" w:hint="cs"/>
        <w:sz w:val="40"/>
        <w:szCs w:val="40"/>
        <w:rtl/>
        <w:lang w:bidi="fa-IR"/>
      </w:rPr>
      <w:t>952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03C9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44EBD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39B7"/>
    <w:rsid w:val="003275F0"/>
    <w:rsid w:val="00340BA3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1DB1"/>
    <w:rsid w:val="00494DC0"/>
    <w:rsid w:val="00496073"/>
    <w:rsid w:val="004B337F"/>
    <w:rsid w:val="004C1D5E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727867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84041"/>
    <w:rsid w:val="00884A90"/>
    <w:rsid w:val="008965D2"/>
    <w:rsid w:val="008A236D"/>
    <w:rsid w:val="008B565A"/>
    <w:rsid w:val="008C3414"/>
    <w:rsid w:val="008D2F68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921BE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E70AD"/>
    <w:rsid w:val="00CF42E2"/>
    <w:rsid w:val="00CF7916"/>
    <w:rsid w:val="00D158F3"/>
    <w:rsid w:val="00D3665C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829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3E8"/>
    <w:rsid w:val="00EA5D97"/>
    <w:rsid w:val="00EC4393"/>
    <w:rsid w:val="00EE1C07"/>
    <w:rsid w:val="00EE2C91"/>
    <w:rsid w:val="00EE3979"/>
    <w:rsid w:val="00EF138C"/>
    <w:rsid w:val="00F034CE"/>
    <w:rsid w:val="00F10A0F"/>
    <w:rsid w:val="00F2105B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  <w:rsid w:val="00FE108C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44E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44E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8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D5524-508F-4AE6-81B7-6695AF393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103</TotalTime>
  <Pages>5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58</cp:revision>
  <dcterms:created xsi:type="dcterms:W3CDTF">2014-12-20T10:23:00Z</dcterms:created>
  <dcterms:modified xsi:type="dcterms:W3CDTF">2015-08-27T06:08:00Z</dcterms:modified>
</cp:coreProperties>
</file>